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C7" w:rsidRPr="00A67DC7" w:rsidRDefault="00A67DC7" w:rsidP="00A67DC7"/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 Autoritetin Kombëtar për Certifikimin Elektronik dhe Sigurinë Kibernetike buxheti i alokuar për vitin 202</w:t>
      </w:r>
      <w:r w:rsidR="000F50C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1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është </w:t>
      </w:r>
      <w:r w:rsidR="00636D22" w:rsidRPr="00636D22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56,863</w:t>
      </w:r>
      <w:r w:rsidR="00636D22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mijë lekë nga të cilat </w:t>
      </w:r>
      <w:r w:rsid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>52,863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mijë lekë Shpenzime Korrente dhe 4,000 mijë lekë Shpenzime Kapitale me financim të brendshëm.</w:t>
      </w:r>
    </w:p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 vijim paraqesim më të detajuar realizimin e shpenzimeve sipas fondeve të alokuara:</w:t>
      </w:r>
    </w:p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1456"/>
        <w:gridCol w:w="1656"/>
        <w:gridCol w:w="1656"/>
        <w:gridCol w:w="897"/>
      </w:tblGrid>
      <w:tr w:rsidR="00A67DC7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Llogaria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Totali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Realizimi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%</w:t>
            </w:r>
          </w:p>
        </w:tc>
      </w:tr>
      <w:tr w:rsidR="000F50CE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CE" w:rsidRPr="000F50CE" w:rsidRDefault="000F50CE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</w:rPr>
            </w:pPr>
            <w:r w:rsidRPr="000F50CE">
              <w:rPr>
                <w:rFonts w:ascii="Times New Roman" w:hAnsi="Times New Roman" w:cs="Times New Roman"/>
              </w:rPr>
              <w:t xml:space="preserve"> </w:t>
            </w:r>
            <w:r w:rsidRPr="000F50CE">
              <w:rPr>
                <w:rFonts w:ascii="Times New Roman" w:hAnsi="Times New Roman" w:cs="Times New Roman"/>
              </w:rPr>
              <w:t xml:space="preserve"> 30,914,000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</w:rPr>
            </w:pPr>
            <w:r w:rsidRPr="000F50CE">
              <w:rPr>
                <w:rFonts w:ascii="Times New Roman" w:hAnsi="Times New Roman" w:cs="Times New Roman"/>
              </w:rPr>
              <w:t xml:space="preserve"> 25,416,604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82%</w:t>
            </w:r>
          </w:p>
        </w:tc>
      </w:tr>
      <w:tr w:rsidR="000F50CE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CE" w:rsidRPr="000F50CE" w:rsidRDefault="000F50CE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</w:rPr>
            </w:pPr>
            <w:r w:rsidRPr="000F50CE">
              <w:rPr>
                <w:rFonts w:ascii="Times New Roman" w:hAnsi="Times New Roman" w:cs="Times New Roman"/>
              </w:rPr>
              <w:t>4,689,000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</w:rPr>
            </w:pPr>
            <w:r w:rsidRPr="000F50CE">
              <w:rPr>
                <w:rFonts w:ascii="Times New Roman" w:hAnsi="Times New Roman" w:cs="Times New Roman"/>
              </w:rPr>
              <w:t xml:space="preserve"> 4,172,641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89%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F50CE" w:rsidRDefault="00076D99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17,000</w:t>
            </w:r>
            <w:r w:rsidR="00076D99" w:rsidRPr="000F50CE">
              <w:rPr>
                <w:rFonts w:ascii="Times New Roman" w:hAnsi="Times New Roman" w:cs="Times New Roman"/>
                <w:szCs w:val="24"/>
              </w:rPr>
              <w:t xml:space="preserve">,000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pStyle w:val="Header"/>
              <w:tabs>
                <w:tab w:val="clear" w:pos="4513"/>
                <w:tab w:val="clear" w:pos="9026"/>
              </w:tabs>
              <w:spacing w:after="5" w:line="271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10,770,257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66</w:t>
            </w:r>
            <w:r w:rsidR="00076D99" w:rsidRPr="000F50C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F50CE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CE" w:rsidRPr="000F50CE" w:rsidRDefault="000F50CE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CE" w:rsidRPr="000F50CE" w:rsidRDefault="000F50CE" w:rsidP="000F50CE">
            <w:pPr>
              <w:pStyle w:val="Header"/>
              <w:tabs>
                <w:tab w:val="clear" w:pos="4513"/>
                <w:tab w:val="clear" w:pos="9026"/>
              </w:tabs>
              <w:spacing w:after="5" w:line="271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149,160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CE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93%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99" w:rsidRPr="000F50CE" w:rsidRDefault="00076D99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100</w:t>
            </w:r>
            <w:r w:rsidR="00076D99" w:rsidRPr="000F50CE">
              <w:rPr>
                <w:rFonts w:ascii="Times New Roman" w:hAnsi="Times New Roman" w:cs="Times New Roman"/>
                <w:szCs w:val="24"/>
              </w:rPr>
              <w:t>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76D99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0</w:t>
            </w:r>
            <w:r w:rsidR="00076D99" w:rsidRPr="000F50C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F50CE" w:rsidRDefault="00076D99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F50CE" w:rsidRDefault="00076D99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4,000,000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2,953,320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74</w:t>
            </w:r>
            <w:r w:rsidR="00076D99" w:rsidRPr="000F50C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F50CE" w:rsidRDefault="00076D99" w:rsidP="000F50CE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F50CE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Shuma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F50CE" w:rsidRDefault="00076D99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F50CE" w:rsidRPr="000F50CE">
              <w:rPr>
                <w:rFonts w:ascii="Times New Roman" w:hAnsi="Times New Roman" w:cs="Times New Roman"/>
                <w:szCs w:val="24"/>
              </w:rPr>
              <w:t xml:space="preserve"> 56,863,000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43,461,982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F50CE" w:rsidRDefault="000F50CE" w:rsidP="000F50C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F50CE">
              <w:rPr>
                <w:rFonts w:ascii="Times New Roman" w:hAnsi="Times New Roman" w:cs="Times New Roman"/>
                <w:szCs w:val="24"/>
              </w:rPr>
              <w:t>76%</w:t>
            </w:r>
          </w:p>
        </w:tc>
      </w:tr>
    </w:tbl>
    <w:p w:rsidR="00A67DC7" w:rsidRPr="00A67DC7" w:rsidRDefault="00A67DC7" w:rsidP="00A67DC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Fondi i Pagave dhe Sigurimeve Shoqërore (zërat 600+601)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Shumat e alokuara për paga dhe sigurime shoqërore per vitin 202</w:t>
      </w:r>
      <w:r w:rsid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>1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janë përkatësisht </w:t>
      </w:r>
      <w:r w:rsidR="00700BEA" w:rsidRP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>30,914,000</w:t>
      </w:r>
      <w:r w:rsid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 për artikullin 600 dhe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="00700BEA" w:rsidRP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>4,689,000</w:t>
      </w:r>
      <w:r w:rsid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 për artikullin 601. Dhe realizimi është përkatësisht </w:t>
      </w:r>
      <w:r w:rsidR="00700BEA" w:rsidRP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25,416,604 </w:t>
      </w:r>
      <w:r w:rsid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 për artikullin 600 dhe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="00700BEA" w:rsidRPr="00700BEA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4,172,641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lekë për artikullin 601.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Fondi për shpenzime në mallra dhe shërbime (zëri 602)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Shuma e alokuar për vitin 202</w:t>
      </w:r>
      <w:r w:rsidR="004041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1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për shpenzime operative është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="004041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17,000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,000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lekë. Dhe realizimi për këtë artikull është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 xml:space="preserve"> </w:t>
      </w:r>
      <w:r w:rsidR="00404125" w:rsidRPr="00404125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>10,770,257</w:t>
      </w:r>
      <w:r w:rsidR="00404125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 xml:space="preserve">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lekë.</w:t>
      </w:r>
    </w:p>
    <w:p w:rsidR="00A67DC7" w:rsidRPr="00A67DC7" w:rsidRDefault="00A67DC7" w:rsidP="00076D99">
      <w:pPr>
        <w:spacing w:after="0" w:line="240" w:lineRule="auto"/>
        <w:ind w:left="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Fondi i Veçantë (zëri 606)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Shuma e alokuar për vitin 202</w:t>
      </w:r>
      <w:r w:rsidR="004041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1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për shpenzime për ndihma në fatkeqësi është </w:t>
      </w:r>
      <w:r w:rsidR="004041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100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,000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lekë.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Fondi për Investime të brendshme (zërat 230+231), është miratuar në shumën 4,000,000 lekë në zërin 231. Dhe realizimi për këtë artikull është </w:t>
      </w:r>
      <w:r w:rsidR="00404125" w:rsidRPr="00404125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>2,953,320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lekë.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A6CD8" w:rsidRDefault="00AA6CD8" w:rsidP="00055259">
      <w:pPr>
        <w:ind w:left="0" w:firstLine="0"/>
      </w:pPr>
      <w:bookmarkStart w:id="0" w:name="_GoBack"/>
      <w:bookmarkEnd w:id="0"/>
    </w:p>
    <w:sectPr w:rsidR="00AA6CD8" w:rsidSect="00AA6998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43" w:rsidRDefault="00644043" w:rsidP="00AA6998">
      <w:pPr>
        <w:spacing w:after="0" w:line="240" w:lineRule="auto"/>
      </w:pPr>
      <w:r>
        <w:separator/>
      </w:r>
    </w:p>
  </w:endnote>
  <w:endnote w:type="continuationSeparator" w:id="0">
    <w:p w:rsidR="00644043" w:rsidRDefault="00644043" w:rsidP="00A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16970"/>
      <w:docPartObj>
        <w:docPartGallery w:val="Page Numbers (Bottom of Page)"/>
        <w:docPartUnique/>
      </w:docPartObj>
    </w:sdtPr>
    <w:sdtEndPr/>
    <w:sdtContent>
      <w:p w:rsidR="00AA6998" w:rsidRDefault="00AA69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25">
          <w:rPr>
            <w:noProof/>
          </w:rPr>
          <w:t>1</w:t>
        </w:r>
        <w:r>
          <w:fldChar w:fldCharType="end"/>
        </w:r>
      </w:p>
    </w:sdtContent>
  </w:sdt>
  <w:p w:rsidR="00AA6998" w:rsidRDefault="00AA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43" w:rsidRDefault="00644043" w:rsidP="00AA6998">
      <w:pPr>
        <w:spacing w:after="0" w:line="240" w:lineRule="auto"/>
      </w:pPr>
      <w:r>
        <w:separator/>
      </w:r>
    </w:p>
  </w:footnote>
  <w:footnote w:type="continuationSeparator" w:id="0">
    <w:p w:rsidR="00644043" w:rsidRDefault="00644043" w:rsidP="00AA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298"/>
    <w:multiLevelType w:val="hybridMultilevel"/>
    <w:tmpl w:val="E038469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B49"/>
    <w:multiLevelType w:val="hybridMultilevel"/>
    <w:tmpl w:val="C29C6738"/>
    <w:lvl w:ilvl="0" w:tplc="44CCA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2D8"/>
    <w:multiLevelType w:val="hybridMultilevel"/>
    <w:tmpl w:val="9B5A6AE0"/>
    <w:lvl w:ilvl="0" w:tplc="44CCA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52436"/>
    <w:multiLevelType w:val="hybridMultilevel"/>
    <w:tmpl w:val="9B5A6AE0"/>
    <w:lvl w:ilvl="0" w:tplc="44CCA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E1"/>
    <w:rsid w:val="00055259"/>
    <w:rsid w:val="00076D99"/>
    <w:rsid w:val="000D4809"/>
    <w:rsid w:val="000F50CE"/>
    <w:rsid w:val="00117A03"/>
    <w:rsid w:val="001E15E1"/>
    <w:rsid w:val="00201CE1"/>
    <w:rsid w:val="00335837"/>
    <w:rsid w:val="00404125"/>
    <w:rsid w:val="004A4DAD"/>
    <w:rsid w:val="00607300"/>
    <w:rsid w:val="00636D22"/>
    <w:rsid w:val="00644043"/>
    <w:rsid w:val="00700BEA"/>
    <w:rsid w:val="00861C23"/>
    <w:rsid w:val="008C4AAA"/>
    <w:rsid w:val="008E4C8F"/>
    <w:rsid w:val="00A67DC7"/>
    <w:rsid w:val="00AA05A1"/>
    <w:rsid w:val="00AA6998"/>
    <w:rsid w:val="00AA6CD8"/>
    <w:rsid w:val="00B72FF3"/>
    <w:rsid w:val="00BF031F"/>
    <w:rsid w:val="00C06FA9"/>
    <w:rsid w:val="00CF0169"/>
    <w:rsid w:val="00D006ED"/>
    <w:rsid w:val="00D36496"/>
    <w:rsid w:val="00E30810"/>
    <w:rsid w:val="00EF4F06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B8EB"/>
  <w15:chartTrackingRefBased/>
  <w15:docId w15:val="{5E449A9B-D458-4378-80E8-248A945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CE1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C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C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201C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201C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8E4C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A6998"/>
    <w:pPr>
      <w:spacing w:line="259" w:lineRule="auto"/>
      <w:ind w:left="0" w:firstLine="0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6998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AA699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A6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98"/>
    <w:rPr>
      <w:rFonts w:ascii="Arial" w:eastAsia="Arial" w:hAnsi="Arial" w:cs="Arial"/>
      <w:color w:val="000000"/>
      <w:sz w:val="24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AA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98"/>
    <w:rPr>
      <w:rFonts w:ascii="Arial" w:eastAsia="Arial" w:hAnsi="Arial" w:cs="Arial"/>
      <w:color w:val="000000"/>
      <w:sz w:val="24"/>
      <w:lang w:eastAsia="sq-AL"/>
    </w:rPr>
  </w:style>
  <w:style w:type="paragraph" w:styleId="TOC3">
    <w:name w:val="toc 3"/>
    <w:basedOn w:val="Normal"/>
    <w:next w:val="Normal"/>
    <w:autoRedefine/>
    <w:uiPriority w:val="39"/>
    <w:unhideWhenUsed/>
    <w:rsid w:val="004A4DA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D9CB-4F66-4254-A397-C5F15E2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AKCESK</dc:creator>
  <cp:keywords/>
  <dc:description/>
  <cp:lastModifiedBy>user</cp:lastModifiedBy>
  <cp:revision>17</cp:revision>
  <dcterms:created xsi:type="dcterms:W3CDTF">2021-01-12T12:06:00Z</dcterms:created>
  <dcterms:modified xsi:type="dcterms:W3CDTF">2023-04-27T13:34:00Z</dcterms:modified>
</cp:coreProperties>
</file>