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C7" w:rsidRPr="00A67DC7" w:rsidRDefault="00A67DC7" w:rsidP="00A67DC7"/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Për Autoritetin Kombëtar për Certifikimin Elektronik dhe Sigurinë Kibernetike buxheti i alokuar për vitin 202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është 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57,952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mijë lekë nga të cilat 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53,952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mijë lekë Shpenzime Korrente dhe 4,000 mijë lekë Shpenzime Kapitale me financim të brendshëm.</w:t>
      </w:r>
    </w:p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 vijim paraqesim më të detajuar realizimin e shpenzimeve sipas fondeve të alokuara:</w:t>
      </w:r>
    </w:p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1456"/>
        <w:gridCol w:w="1656"/>
        <w:gridCol w:w="1656"/>
        <w:gridCol w:w="897"/>
      </w:tblGrid>
      <w:tr w:rsidR="00A67DC7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Llogaria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Totali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Realizimi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C7" w:rsidRPr="00076D99" w:rsidRDefault="00A67DC7" w:rsidP="00A67DC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76D99" w:rsidRDefault="00076D99" w:rsidP="00076D9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30,122,400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24,382,994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81%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76D99" w:rsidRDefault="00076D99" w:rsidP="00076D9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4,590,525 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4,011,919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87%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76D99" w:rsidRDefault="00076D99" w:rsidP="00076D9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18,876,000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pStyle w:val="Header"/>
              <w:tabs>
                <w:tab w:val="clear" w:pos="4513"/>
                <w:tab w:val="clear" w:pos="9026"/>
              </w:tabs>
              <w:spacing w:after="5" w:line="271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5,728,198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D99" w:rsidRPr="00076D99" w:rsidRDefault="00076D99" w:rsidP="00076D9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606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364,000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273,458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75%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76D99" w:rsidRDefault="00076D99" w:rsidP="00076D9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4,000,000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702,000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>18%</w:t>
            </w:r>
          </w:p>
        </w:tc>
      </w:tr>
      <w:tr w:rsidR="00076D99" w:rsidRPr="00076D99" w:rsidTr="00076D99">
        <w:trPr>
          <w:trHeight w:val="345"/>
          <w:jc w:val="center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D99" w:rsidRPr="00076D99" w:rsidRDefault="00076D99" w:rsidP="00076D99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</w:pPr>
            <w:r w:rsidRPr="00076D99">
              <w:rPr>
                <w:rFonts w:ascii="Times New Roman" w:eastAsia="Times New Roman" w:hAnsi="Times New Roman" w:cs="Times New Roman"/>
                <w:color w:val="auto"/>
                <w:szCs w:val="24"/>
                <w:lang w:val="en-US" w:eastAsia="en-US"/>
              </w:rPr>
              <w:t>Shuma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57,952,925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076D99">
              <w:rPr>
                <w:rFonts w:ascii="Times New Roman" w:hAnsi="Times New Roman" w:cs="Times New Roman"/>
                <w:szCs w:val="24"/>
              </w:rPr>
              <w:t xml:space="preserve"> 35,098,569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D99" w:rsidRPr="00076D99" w:rsidRDefault="00076D99" w:rsidP="00076D99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67DC7" w:rsidRPr="00A67DC7" w:rsidRDefault="00A67DC7" w:rsidP="00A67DC7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Fondi i Pagave dhe Sigurimeve Shoqërore (zërat 600+601)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Shumat e alokuara për paga dhe sigurime shoqërore per vitin 202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janë përkatësisht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30,122,400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 për artikullin 600 dhe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4,590,525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 për artikullin 601. Dhe realizimi është përkatësisht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24,382,994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 për artikullin 600 dhe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4,011,919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lekë për artikullin 601.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Fondi për shpenzime në mallra dhe shërbime (zëri 602)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Shuma e alokuar për vitin 202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për shpenzime operative është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18,876,000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lekë. Dhe realizimi për këtë artikull është </w:t>
      </w:r>
      <w:r w:rsidR="00076D99" w:rsidRPr="00076D99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 xml:space="preserve"> 5,728,198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lekë.</w:t>
      </w:r>
    </w:p>
    <w:p w:rsidR="00A67DC7" w:rsidRPr="00A67DC7" w:rsidRDefault="00A67DC7" w:rsidP="00076D99">
      <w:pPr>
        <w:spacing w:after="0" w:line="240" w:lineRule="auto"/>
        <w:ind w:left="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Fondi i Veçantë (zëri 606)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Shuma e alokuar për vitin 202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për shpenzime për ndihma në fatkeqësi është 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364,000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lekë. Dhe realizimi për këtë artikull është </w:t>
      </w:r>
      <w:r w:rsidR="00076D99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273,548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lekë.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Fondi për Investime të brendshme (zërat 230+231), është miratuar në shumën 4,000,000 lekë në zërin 231. Dhe realizimi për këtë artikull është </w:t>
      </w:r>
      <w:r w:rsidR="00076D99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>702,000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val="en-US" w:eastAsia="en-US"/>
        </w:rPr>
        <w:t xml:space="preserve"> 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lekë.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076D99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>Në muajin Tetor të vitit 2022 marrëdhëniet e punës të punonjësve t</w:t>
      </w:r>
      <w:r w:rsidR="00117A0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ë</w:t>
      </w:r>
      <w:r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Autorietit ndryshuan nga nëpunës civilë në marrëdhënie me Kod Pune</w:t>
      </w:r>
      <w:r w:rsidR="00A67DC7"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. </w:t>
      </w: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:rsidR="00A67DC7" w:rsidRPr="00A67DC7" w:rsidRDefault="00A67DC7" w:rsidP="00A67DC7">
      <w:pPr>
        <w:spacing w:after="0" w:line="240" w:lineRule="auto"/>
        <w:ind w:left="-180" w:right="720" w:firstLine="0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Gjatë vitit 202</w:t>
      </w:r>
      <w:r w:rsidR="00117A03">
        <w:rPr>
          <w:rFonts w:ascii="Times New Roman" w:eastAsia="Times New Roman" w:hAnsi="Times New Roman" w:cs="Times New Roman"/>
          <w:color w:val="auto"/>
          <w:szCs w:val="24"/>
          <w:lang w:eastAsia="en-US"/>
        </w:rPr>
        <w:t>2</w:t>
      </w:r>
      <w:r w:rsidRPr="00A67DC7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kemi bërë rekrutime të reja duke e shtuar numrin e stafit me 4 persona.</w:t>
      </w:r>
    </w:p>
    <w:p w:rsidR="00AA6CD8" w:rsidRDefault="00AA6CD8" w:rsidP="00055259">
      <w:pPr>
        <w:ind w:left="0" w:firstLine="0"/>
      </w:pPr>
      <w:bookmarkStart w:id="0" w:name="_GoBack"/>
      <w:bookmarkEnd w:id="0"/>
    </w:p>
    <w:sectPr w:rsidR="00AA6CD8" w:rsidSect="00AA6998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A9" w:rsidRDefault="00C06FA9" w:rsidP="00AA6998">
      <w:pPr>
        <w:spacing w:after="0" w:line="240" w:lineRule="auto"/>
      </w:pPr>
      <w:r>
        <w:separator/>
      </w:r>
    </w:p>
  </w:endnote>
  <w:endnote w:type="continuationSeparator" w:id="0">
    <w:p w:rsidR="00C06FA9" w:rsidRDefault="00C06FA9" w:rsidP="00A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16970"/>
      <w:docPartObj>
        <w:docPartGallery w:val="Page Numbers (Bottom of Page)"/>
        <w:docPartUnique/>
      </w:docPartObj>
    </w:sdtPr>
    <w:sdtEndPr/>
    <w:sdtContent>
      <w:p w:rsidR="00AA6998" w:rsidRDefault="00AA69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59">
          <w:rPr>
            <w:noProof/>
          </w:rPr>
          <w:t>1</w:t>
        </w:r>
        <w:r>
          <w:fldChar w:fldCharType="end"/>
        </w:r>
      </w:p>
    </w:sdtContent>
  </w:sdt>
  <w:p w:rsidR="00AA6998" w:rsidRDefault="00AA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A9" w:rsidRDefault="00C06FA9" w:rsidP="00AA6998">
      <w:pPr>
        <w:spacing w:after="0" w:line="240" w:lineRule="auto"/>
      </w:pPr>
      <w:r>
        <w:separator/>
      </w:r>
    </w:p>
  </w:footnote>
  <w:footnote w:type="continuationSeparator" w:id="0">
    <w:p w:rsidR="00C06FA9" w:rsidRDefault="00C06FA9" w:rsidP="00AA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298"/>
    <w:multiLevelType w:val="hybridMultilevel"/>
    <w:tmpl w:val="E038469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F1B49"/>
    <w:multiLevelType w:val="hybridMultilevel"/>
    <w:tmpl w:val="C29C6738"/>
    <w:lvl w:ilvl="0" w:tplc="44CCA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2D8"/>
    <w:multiLevelType w:val="hybridMultilevel"/>
    <w:tmpl w:val="9B5A6AE0"/>
    <w:lvl w:ilvl="0" w:tplc="44CCA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52436"/>
    <w:multiLevelType w:val="hybridMultilevel"/>
    <w:tmpl w:val="9B5A6AE0"/>
    <w:lvl w:ilvl="0" w:tplc="44CCA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E1"/>
    <w:rsid w:val="00055259"/>
    <w:rsid w:val="00076D99"/>
    <w:rsid w:val="000D4809"/>
    <w:rsid w:val="00117A03"/>
    <w:rsid w:val="001E15E1"/>
    <w:rsid w:val="00201CE1"/>
    <w:rsid w:val="00335837"/>
    <w:rsid w:val="004A4DAD"/>
    <w:rsid w:val="00607300"/>
    <w:rsid w:val="00861C23"/>
    <w:rsid w:val="008C4AAA"/>
    <w:rsid w:val="008E4C8F"/>
    <w:rsid w:val="00A67DC7"/>
    <w:rsid w:val="00AA05A1"/>
    <w:rsid w:val="00AA6998"/>
    <w:rsid w:val="00AA6CD8"/>
    <w:rsid w:val="00B72FF3"/>
    <w:rsid w:val="00BF031F"/>
    <w:rsid w:val="00C06FA9"/>
    <w:rsid w:val="00CF0169"/>
    <w:rsid w:val="00D006ED"/>
    <w:rsid w:val="00D36496"/>
    <w:rsid w:val="00E30810"/>
    <w:rsid w:val="00EF4F06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A25D"/>
  <w15:chartTrackingRefBased/>
  <w15:docId w15:val="{5E449A9B-D458-4378-80E8-248A945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CE1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C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C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q-AL"/>
    </w:rPr>
  </w:style>
  <w:style w:type="character" w:customStyle="1" w:styleId="Heading2Char">
    <w:name w:val="Heading 2 Char"/>
    <w:basedOn w:val="DefaultParagraphFont"/>
    <w:link w:val="Heading2"/>
    <w:uiPriority w:val="9"/>
    <w:rsid w:val="00201C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201C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q-AL"/>
    </w:rPr>
  </w:style>
  <w:style w:type="paragraph" w:styleId="ListParagraph">
    <w:name w:val="List Paragraph"/>
    <w:basedOn w:val="Normal"/>
    <w:uiPriority w:val="34"/>
    <w:qFormat/>
    <w:rsid w:val="008E4C8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A6998"/>
    <w:pPr>
      <w:spacing w:line="259" w:lineRule="auto"/>
      <w:ind w:left="0" w:firstLine="0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6998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AA699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A6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98"/>
    <w:rPr>
      <w:rFonts w:ascii="Arial" w:eastAsia="Arial" w:hAnsi="Arial" w:cs="Arial"/>
      <w:color w:val="000000"/>
      <w:sz w:val="24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AA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98"/>
    <w:rPr>
      <w:rFonts w:ascii="Arial" w:eastAsia="Arial" w:hAnsi="Arial" w:cs="Arial"/>
      <w:color w:val="000000"/>
      <w:sz w:val="24"/>
      <w:lang w:eastAsia="sq-AL"/>
    </w:rPr>
  </w:style>
  <w:style w:type="paragraph" w:styleId="TOC3">
    <w:name w:val="toc 3"/>
    <w:basedOn w:val="Normal"/>
    <w:next w:val="Normal"/>
    <w:autoRedefine/>
    <w:uiPriority w:val="39"/>
    <w:unhideWhenUsed/>
    <w:rsid w:val="004A4DA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9941-248D-4B25-A0D1-E197AD1C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AKCESK</dc:creator>
  <cp:keywords/>
  <dc:description/>
  <cp:lastModifiedBy>user</cp:lastModifiedBy>
  <cp:revision>14</cp:revision>
  <dcterms:created xsi:type="dcterms:W3CDTF">2021-01-12T12:06:00Z</dcterms:created>
  <dcterms:modified xsi:type="dcterms:W3CDTF">2023-02-15T11:23:00Z</dcterms:modified>
</cp:coreProperties>
</file>